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14.04.2023 N 124-ФЗ</w:t>
              <w:br/>
              <w:t xml:space="preserve">"О внесении изменений в Федеральный закон "Об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апреля 2023 года</w:t>
            </w:r>
          </w:p>
        </w:tc>
        <w:tc>
          <w:tcPr>
            <w:tcW w:w="5103" w:type="dxa"/>
            <w:tcBorders>
              <w:top w:val="nil"/>
              <w:left w:val="nil"/>
              <w:bottom w:val="nil"/>
              <w:right w:val="nil"/>
            </w:tcBorders>
          </w:tcPr>
          <w:p>
            <w:pPr>
              <w:pStyle w:val="0"/>
              <w:jc w:val="right"/>
            </w:pPr>
            <w:r>
              <w:rPr>
                <w:sz w:val="20"/>
              </w:rPr>
              <w:t xml:space="preserve">N 124-ФЗ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ОБРАЗОВАНИИ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5 апреля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апреля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2013, N 27, ст. 3462; 2014, N 22, ст. 2769; 2016, N 27, ст. 4239; 2018, N 32, ст. 5130; 2019, N 30, ст. 4134; N 49, ст. 6962; N 52, ст. 7796; 2020, N 24, ст. 3738; N 31, ст. 5063; 2021, N 1, ст. 56; N 13, ст. 2137; N 15, ст. 2452; N 22, ст. 3679; N 27, ст. 5049; 2022, N 29, ст. 5262; N 39, ст. 6541; 2023, N 1, ст. 78, 88) следующие изменения:</w:t>
      </w:r>
    </w:p>
    <w:p>
      <w:pPr>
        <w:pStyle w:val="0"/>
        <w:spacing w:before="200" w:line-rule="auto"/>
        <w:ind w:firstLine="540"/>
        <w:jc w:val="both"/>
      </w:pPr>
      <w:r>
        <w:rPr>
          <w:sz w:val="20"/>
        </w:rPr>
        <w:t xml:space="preserve">1) </w:t>
      </w:r>
      <w:hyperlink w:history="0" r:id="rId8"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2</w:t>
        </w:r>
      </w:hyperlink>
      <w:r>
        <w:rPr>
          <w:sz w:val="20"/>
        </w:rPr>
        <w:t xml:space="preserve"> дополнить пунктом 36 следующего содержания:</w:t>
      </w:r>
    </w:p>
    <w:p>
      <w:pPr>
        <w:pStyle w:val="0"/>
        <w:spacing w:before="200" w:line-rule="auto"/>
        <w:ind w:firstLine="540"/>
        <w:jc w:val="both"/>
      </w:pPr>
      <w:r>
        <w:rPr>
          <w:sz w:val="20"/>
        </w:rPr>
        <w:t xml:space="preserve">"36) 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
    <w:p>
      <w:pPr>
        <w:pStyle w:val="0"/>
        <w:spacing w:before="200" w:line-rule="auto"/>
        <w:ind w:firstLine="540"/>
        <w:jc w:val="both"/>
      </w:pPr>
      <w:r>
        <w:rPr>
          <w:sz w:val="20"/>
        </w:rPr>
        <w:t xml:space="preserve">2) </w:t>
      </w:r>
      <w:hyperlink w:history="0" r:id="rId9"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пункт 14 части 1 статьи 34</w:t>
        </w:r>
      </w:hyperlink>
      <w:r>
        <w:rPr>
          <w:sz w:val="20"/>
        </w:rPr>
        <w:t xml:space="preserve"> изложить в следующей редакции:</w:t>
      </w:r>
    </w:p>
    <w:p>
      <w:pPr>
        <w:pStyle w:val="0"/>
        <w:spacing w:before="200" w:line-rule="auto"/>
        <w:ind w:firstLine="540"/>
        <w:jc w:val="both"/>
      </w:pPr>
      <w:r>
        <w:rPr>
          <w:sz w:val="20"/>
        </w:rPr>
        <w:t xml:space="preserve">"14) переход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 случаях и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3) </w:t>
      </w:r>
      <w:hyperlink w:history="0" r:id="rId10"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3 статьи 53</w:t>
        </w:r>
      </w:hyperlink>
      <w:r>
        <w:rPr>
          <w:sz w:val="20"/>
        </w:rPr>
        <w:t xml:space="preserve"> признать утратившей силу;</w:t>
      </w:r>
    </w:p>
    <w:p>
      <w:pPr>
        <w:pStyle w:val="0"/>
        <w:spacing w:before="200" w:line-rule="auto"/>
        <w:ind w:firstLine="540"/>
        <w:jc w:val="both"/>
      </w:pPr>
      <w:r>
        <w:rPr>
          <w:sz w:val="20"/>
        </w:rPr>
        <w:t xml:space="preserve">4) </w:t>
      </w:r>
      <w:hyperlink w:history="0" r:id="rId11"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5 статьи 55</w:t>
        </w:r>
      </w:hyperlink>
      <w:r>
        <w:rPr>
          <w:sz w:val="20"/>
        </w:rPr>
        <w:t xml:space="preserve"> после слов "юридическими лицами" дополнить словами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0"/>
        <w:spacing w:before="200" w:line-rule="auto"/>
        <w:ind w:firstLine="540"/>
        <w:jc w:val="both"/>
      </w:pPr>
      <w:r>
        <w:rPr>
          <w:sz w:val="20"/>
        </w:rPr>
        <w:t xml:space="preserve">5) </w:t>
      </w:r>
      <w:hyperlink w:history="0" r:id="rId12"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56</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56. Целевое обучение</w:t>
      </w:r>
    </w:p>
    <w:p>
      <w:pPr>
        <w:pStyle w:val="0"/>
        <w:jc w:val="both"/>
      </w:pPr>
      <w:r>
        <w:rPr>
          <w:sz w:val="20"/>
        </w:rPr>
      </w:r>
    </w:p>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Заказчиком целевого обучения не могут выступать лица, указанные в </w:t>
      </w:r>
      <w:hyperlink w:history="0" r:id="rId1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части 2 статьи 1</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pPr>
        <w:pStyle w:val="0"/>
        <w:spacing w:before="200" w:line-rule="auto"/>
        <w:ind w:firstLine="540"/>
        <w:jc w:val="both"/>
      </w:pPr>
      <w:r>
        <w:rPr>
          <w:sz w:val="20"/>
        </w:rPr>
        <w:t xml:space="preserve">3.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гражданин в соответствии с договором о целевом обучении, включена в сводный реестр организаций оборонно-промышленного комплекса, формируемый в соответствии с </w:t>
      </w:r>
      <w:hyperlink w:history="0" r:id="rId14"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основной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месте, определенном договором о целевом обучении, в течение не менее трех лет и не более пяти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4. Договором о целевом обучении могут предусматриваться условия:</w:t>
      </w:r>
    </w:p>
    <w:p>
      <w:pPr>
        <w:pStyle w:val="0"/>
        <w:spacing w:before="200" w:line-rule="auto"/>
        <w:ind w:firstLine="540"/>
        <w:jc w:val="both"/>
      </w:pPr>
      <w:r>
        <w:rPr>
          <w:sz w:val="20"/>
        </w:rPr>
        <w:t xml:space="preserve">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pPr>
        <w:pStyle w:val="0"/>
        <w:spacing w:before="200" w:line-rule="auto"/>
        <w:ind w:firstLine="540"/>
        <w:jc w:val="both"/>
      </w:pPr>
      <w:r>
        <w:rPr>
          <w:sz w:val="20"/>
        </w:rPr>
        <w:t xml:space="preserve">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5. Сторонами договора о целевом обучении, предусматривающего условия, указанные в части 4 настоящей статьи, наряду с гражданином и заказчиком целевого обучения является организация, осуществляющая образовательную деятельность, и может являться организация, в которую будет трудоустроен гражданин в соответствии с договором о целевом обучении. Такой договор о целевом обучении предусматривает обязательства:</w:t>
      </w:r>
    </w:p>
    <w:p>
      <w:pPr>
        <w:pStyle w:val="0"/>
        <w:spacing w:before="200" w:line-rule="auto"/>
        <w:ind w:firstLine="540"/>
        <w:jc w:val="both"/>
      </w:pPr>
      <w:r>
        <w:rPr>
          <w:sz w:val="20"/>
        </w:rPr>
        <w:t xml:space="preserve">1) организации, осуществляющей образовательную деятельность:</w:t>
      </w:r>
    </w:p>
    <w:p>
      <w:pPr>
        <w:pStyle w:val="0"/>
        <w:spacing w:before="200" w:line-rule="auto"/>
        <w:ind w:firstLine="540"/>
        <w:jc w:val="both"/>
      </w:pPr>
      <w:r>
        <w:rPr>
          <w:sz w:val="20"/>
        </w:rPr>
        <w:t xml:space="preserve">а) по организации практической подготовки гражданина в местах, определенных договором о целевом обучении;</w:t>
      </w:r>
    </w:p>
    <w:p>
      <w:pPr>
        <w:pStyle w:val="0"/>
        <w:spacing w:before="200" w:line-rule="auto"/>
        <w:ind w:firstLine="540"/>
        <w:jc w:val="both"/>
      </w:pPr>
      <w:r>
        <w:rPr>
          <w:sz w:val="20"/>
        </w:rPr>
        <w:t xml:space="preserve">б) по предоставлению заказчику целевого обучения по его заявлению сведений о результатах освоения гражданином образовательной программы, результатах прохождения им промежуточной и итоговой аттестации;</w:t>
      </w:r>
    </w:p>
    <w:p>
      <w:pPr>
        <w:pStyle w:val="0"/>
        <w:spacing w:before="200" w:line-rule="auto"/>
        <w:ind w:firstLine="540"/>
        <w:jc w:val="both"/>
      </w:pPr>
      <w:r>
        <w:rPr>
          <w:sz w:val="20"/>
        </w:rPr>
        <w:t xml:space="preserve">2) заказчика целевого обучения или организации, в которую будет трудоустроен гражданин в соответствии с договором о целевом обучении, по организации условий для прохождения гражданином, с которым заключен договор о целевом обучении, практической подготовки в местах, определенных договором о целевом обучении, в том числе предоставление ему индивидуального сопровождения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pPr>
        <w:pStyle w:val="0"/>
        <w:spacing w:before="200" w:line-rule="auto"/>
        <w:ind w:firstLine="540"/>
        <w:jc w:val="both"/>
      </w:pPr>
      <w:r>
        <w:rPr>
          <w:sz w:val="20"/>
        </w:rPr>
        <w:t xml:space="preserve">3) заказчика целевого обучения по информированию гражданина, с которым заключен договор о целевом обучении, о сокращении мер поддержки при невыполнении им требований заказчика целевого обучения к успеваемости.</w:t>
      </w:r>
    </w:p>
    <w:p>
      <w:pPr>
        <w:pStyle w:val="0"/>
        <w:spacing w:before="200" w:line-rule="auto"/>
        <w:ind w:firstLine="540"/>
        <w:jc w:val="both"/>
      </w:pPr>
      <w:r>
        <w:rPr>
          <w:sz w:val="20"/>
        </w:rPr>
        <w:t xml:space="preserve">6. В случае,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 договор о целевом обучении может содержать условия договора об оказании платных образовательных услуг, предусмотренные статьей 54 настоящего Федерального закона.</w:t>
      </w:r>
    </w:p>
    <w:p>
      <w:pPr>
        <w:pStyle w:val="0"/>
        <w:spacing w:before="200" w:line-rule="auto"/>
        <w:ind w:firstLine="540"/>
        <w:jc w:val="both"/>
      </w:pPr>
      <w:r>
        <w:rPr>
          <w:sz w:val="20"/>
        </w:rPr>
        <w:t xml:space="preserve">7. Заказчик целевого обучения размещает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которые должны содержать:</w:t>
      </w:r>
    </w:p>
    <w:p>
      <w:pPr>
        <w:pStyle w:val="0"/>
        <w:spacing w:before="200" w:line-rule="auto"/>
        <w:ind w:firstLine="540"/>
        <w:jc w:val="both"/>
      </w:pPr>
      <w:r>
        <w:rPr>
          <w:sz w:val="20"/>
        </w:rPr>
        <w:t xml:space="preserve">1)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о месте осуществления трудовой деятельности с учетом требований, установленных подпунктом "б" пункта 1 части 3 настоящей статьи;</w:t>
      </w:r>
    </w:p>
    <w:p>
      <w:pPr>
        <w:pStyle w:val="0"/>
        <w:spacing w:before="200" w:line-rule="auto"/>
        <w:ind w:firstLine="540"/>
        <w:jc w:val="both"/>
      </w:pPr>
      <w:r>
        <w:rPr>
          <w:sz w:val="20"/>
        </w:rPr>
        <w:t xml:space="preserve">2) сведения об организациях, осуществляющих образовательную деятельность, в которых должно быть организовано целевое обучение, и о профессиях, специальностях, направлениях подготовки, научных специальностях, по которым требуется целевое обучение в каждой из указанных организаций;</w:t>
      </w:r>
    </w:p>
    <w:p>
      <w:pPr>
        <w:pStyle w:val="0"/>
        <w:spacing w:before="200" w:line-rule="auto"/>
        <w:ind w:firstLine="540"/>
        <w:jc w:val="both"/>
      </w:pPr>
      <w:r>
        <w:rPr>
          <w:sz w:val="20"/>
        </w:rPr>
        <w:t xml:space="preserve">3) сведения о мерах поддержки, указанных в подпункте "а" пункта 1 части 3 настоящей статьи, а также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осуществления, указанном в заявке;</w:t>
      </w:r>
    </w:p>
    <w:p>
      <w:pPr>
        <w:pStyle w:val="0"/>
        <w:spacing w:before="200" w:line-rule="auto"/>
        <w:ind w:firstLine="540"/>
        <w:jc w:val="both"/>
      </w:pPr>
      <w:r>
        <w:rPr>
          <w:sz w:val="20"/>
        </w:rPr>
        <w:t xml:space="preserve">4) сведения о требованиях, которые предъявляются заказчиком целевого обучения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Перечень требований, которые предъявляются заказчиком целевого обучения к гражданам, с которыми заключается договор о целевом обучении, определяется Правительством Российской Федерации и не может включать в себя требования к учебным достижениям,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 а также квалификационные требования к уровню образования;</w:t>
      </w:r>
    </w:p>
    <w:p>
      <w:pPr>
        <w:pStyle w:val="0"/>
        <w:spacing w:before="200" w:line-rule="auto"/>
        <w:ind w:firstLine="540"/>
        <w:jc w:val="both"/>
      </w:pPr>
      <w:r>
        <w:rPr>
          <w:sz w:val="20"/>
        </w:rPr>
        <w:t xml:space="preserve">5) сведения о требованиях к успеваемости гражданина, с которым будет заключен договор о целевом обучении,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6) контакты лиц, определенных заказчиком целевого обучения ответственными за организацию заключения договоров о целевом обучении.</w:t>
      </w:r>
    </w:p>
    <w:p>
      <w:pPr>
        <w:pStyle w:val="0"/>
        <w:spacing w:before="200" w:line-rule="auto"/>
        <w:ind w:firstLine="540"/>
        <w:jc w:val="both"/>
      </w:pPr>
      <w:r>
        <w:rPr>
          <w:sz w:val="20"/>
        </w:rPr>
        <w:t xml:space="preserve">8. Информация, содержащая предложения о заключении договора или договоров о целевом обучении на Единой цифровой платформе в сфере занятости и трудовых отношений "Работа в России", является общедоступной информацией, за исключением информации, доступ к которой ограничен федеральным законом.</w:t>
      </w:r>
    </w:p>
    <w:p>
      <w:pPr>
        <w:pStyle w:val="0"/>
        <w:spacing w:before="200" w:line-rule="auto"/>
        <w:ind w:firstLine="540"/>
        <w:jc w:val="both"/>
      </w:pPr>
      <w:r>
        <w:rPr>
          <w:sz w:val="20"/>
        </w:rPr>
        <w:t xml:space="preserve">9. Гражданин, желающий заключить договор о целевом обучении, может подать заявку при приеме на обучение или непосредственно во время обучения по образовательной программе среднего профессионального или высшего образования.</w:t>
      </w:r>
    </w:p>
    <w:p>
      <w:pPr>
        <w:pStyle w:val="0"/>
        <w:spacing w:before="200" w:line-rule="auto"/>
        <w:ind w:firstLine="540"/>
        <w:jc w:val="both"/>
      </w:pPr>
      <w:r>
        <w:rPr>
          <w:sz w:val="20"/>
        </w:rPr>
        <w:t xml:space="preserve">10. Заявка, указанная в части 9 настоящей статьи, при приеме на обучение подается в бумажном или электронном виде, во время обучения заявка подается в бумажном виде.</w:t>
      </w:r>
    </w:p>
    <w:p>
      <w:pPr>
        <w:pStyle w:val="0"/>
        <w:spacing w:before="200" w:line-rule="auto"/>
        <w:ind w:firstLine="540"/>
        <w:jc w:val="both"/>
      </w:pPr>
      <w:r>
        <w:rPr>
          <w:sz w:val="20"/>
        </w:rPr>
        <w:t xml:space="preserve">11. При подаче заявки, указанной в части 9 настоящей статьи,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"Работа в России", и непосредственно обращается к заказчику целевого обучения или в организацию, осуществляющую образовательную деятельность, в которой должно быть организовано целевое обучение. В электронном виде указанная в части 9 настоящей статьи заявка подается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с которыми заключается договор о целевом обучении.</w:t>
      </w:r>
    </w:p>
    <w:p>
      <w:pPr>
        <w:pStyle w:val="0"/>
        <w:spacing w:before="200" w:line-rule="auto"/>
        <w:ind w:firstLine="540"/>
        <w:jc w:val="both"/>
      </w:pPr>
      <w:r>
        <w:rPr>
          <w:sz w:val="20"/>
        </w:rPr>
        <w:t xml:space="preserve">12. 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 и которые приняты на обучение в соответствии с порядком приема, предусмотренным частью 8 статьи 55 настоящего Федерального закона. Договор о целевом обучении с гражданином, поступающим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заключается с учетом особенностей, установленных статьей 71.1 настоящего Федерального закона.</w:t>
      </w:r>
    </w:p>
    <w:p>
      <w:pPr>
        <w:pStyle w:val="0"/>
        <w:spacing w:before="200" w:line-rule="auto"/>
        <w:ind w:firstLine="540"/>
        <w:jc w:val="both"/>
      </w:pPr>
      <w:r>
        <w:rPr>
          <w:sz w:val="20"/>
        </w:rPr>
        <w:t xml:space="preserve">13. Во время обучения договор о целевом обучении заключается в сроки, определенные заказчиком целевого обучения.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w:t>
      </w:r>
    </w:p>
    <w:p>
      <w:pPr>
        <w:pStyle w:val="0"/>
        <w:spacing w:before="200" w:line-rule="auto"/>
        <w:ind w:firstLine="540"/>
        <w:jc w:val="both"/>
      </w:pPr>
      <w:r>
        <w:rPr>
          <w:sz w:val="20"/>
        </w:rPr>
        <w:t xml:space="preserve">14.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w:t>
      </w:r>
    </w:p>
    <w:p>
      <w:pPr>
        <w:pStyle w:val="0"/>
        <w:spacing w:before="200" w:line-rule="auto"/>
        <w:ind w:firstLine="540"/>
        <w:jc w:val="both"/>
      </w:pPr>
      <w:r>
        <w:rPr>
          <w:sz w:val="20"/>
        </w:rPr>
        <w:t xml:space="preserve">15.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заработной платы в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 В случае непредоставления гражданину мер поддержки, предусмотренных договором о целевом обучении, гражданин вправе досрочно расторгнуть договор о целевом обучении.</w:t>
      </w:r>
    </w:p>
    <w:p>
      <w:pPr>
        <w:pStyle w:val="0"/>
        <w:spacing w:before="200" w:line-rule="auto"/>
        <w:ind w:firstLine="540"/>
        <w:jc w:val="both"/>
      </w:pPr>
      <w:r>
        <w:rPr>
          <w:sz w:val="20"/>
        </w:rPr>
        <w:t xml:space="preserve">16.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17. Положение о целевом обучении, включающее в том числе порядок заключения и расторжения договора о целевом обучении, требования, которые могут предъявлять заказчики целевого обучения к гражданам, с которыми заключается договор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и сроки размещения сторонами договора о целевом обучении на Единой цифровой платформе в сфере занятости и трудовых отношений "Работа в России" уведомлений о случаях неисполнения договора о целевом обучении, порядок выплаты компенсации, порядок определения размера расходов и их возмещения, типовая форма договора о целевом обучении, форма предложений о заключении договора или договоров о целевом обучении, форма заявки на заключение договора о целевом обучении, порядок и сроки размещения предложений о заключении договора или договоров о целевом обучении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pPr>
        <w:pStyle w:val="0"/>
        <w:spacing w:before="200" w:line-rule="auto"/>
        <w:ind w:firstLine="540"/>
        <w:jc w:val="both"/>
      </w:pPr>
      <w:r>
        <w:rPr>
          <w:sz w:val="20"/>
        </w:rPr>
        <w:t xml:space="preserve">18.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0"/>
        <w:spacing w:before="200" w:line-rule="auto"/>
        <w:ind w:firstLine="540"/>
        <w:jc w:val="both"/>
      </w:pPr>
      <w:r>
        <w:rPr>
          <w:sz w:val="20"/>
        </w:rPr>
        <w:t xml:space="preserve">19. Обязанность заказчика целевого обучения размещать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 а также на случаи, если заказчиками целевого обучения являются органы, указанные в части 1 статьи 81 настоящего Федерального закона.";</w:t>
      </w:r>
    </w:p>
    <w:p>
      <w:pPr>
        <w:pStyle w:val="0"/>
        <w:ind w:firstLine="540"/>
        <w:jc w:val="both"/>
      </w:pPr>
      <w:r>
        <w:rPr>
          <w:sz w:val="20"/>
        </w:rPr>
      </w:r>
    </w:p>
    <w:p>
      <w:pPr>
        <w:pStyle w:val="0"/>
        <w:ind w:firstLine="540"/>
        <w:jc w:val="both"/>
      </w:pPr>
      <w:r>
        <w:rPr>
          <w:sz w:val="20"/>
        </w:rPr>
        <w:t xml:space="preserve">6) в </w:t>
      </w:r>
      <w:hyperlink w:history="0" r:id="rId15"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статье 71.1</w:t>
        </w:r>
      </w:hyperlink>
      <w:r>
        <w:rPr>
          <w:sz w:val="20"/>
        </w:rPr>
        <w:t xml:space="preserve">:</w:t>
      </w:r>
    </w:p>
    <w:p>
      <w:pPr>
        <w:pStyle w:val="0"/>
        <w:spacing w:before="200" w:line-rule="auto"/>
        <w:ind w:firstLine="540"/>
        <w:jc w:val="both"/>
      </w:pPr>
      <w:r>
        <w:rPr>
          <w:sz w:val="20"/>
        </w:rPr>
        <w:t xml:space="preserve">а) в </w:t>
      </w:r>
      <w:hyperlink w:history="0" r:id="rId16"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7"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абзац первый</w:t>
        </w:r>
      </w:hyperlink>
      <w:r>
        <w:rPr>
          <w:sz w:val="20"/>
        </w:rPr>
        <w:t xml:space="preserve"> изложить в следующей редакции:</w:t>
      </w:r>
    </w:p>
    <w:p>
      <w:pPr>
        <w:pStyle w:val="0"/>
        <w:spacing w:before="200" w:line-rule="auto"/>
        <w:ind w:firstLine="540"/>
        <w:jc w:val="both"/>
      </w:pPr>
      <w:r>
        <w:rPr>
          <w:sz w:val="20"/>
        </w:rPr>
        <w:t xml:space="preserve">"1.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w:t>
      </w:r>
    </w:p>
    <w:p>
      <w:pPr>
        <w:pStyle w:val="0"/>
        <w:spacing w:before="200" w:line-rule="auto"/>
        <w:ind w:firstLine="540"/>
        <w:jc w:val="both"/>
      </w:pPr>
      <w:r>
        <w:rPr>
          <w:sz w:val="20"/>
        </w:rPr>
        <w:t xml:space="preserve">в </w:t>
      </w:r>
      <w:hyperlink w:history="0" r:id="rId18"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пункте 10</w:t>
        </w:r>
      </w:hyperlink>
      <w:r>
        <w:rPr>
          <w:sz w:val="20"/>
        </w:rPr>
        <w:t xml:space="preserve"> слова "сфер сельского хозяйства и инженерии" заменить словами "сфер сельского хозяйства, рыболовства и инженерии (при условии нахождения в указанном статусе не менее трех лет)";</w:t>
      </w:r>
    </w:p>
    <w:p>
      <w:pPr>
        <w:pStyle w:val="0"/>
        <w:spacing w:before="200" w:line-rule="auto"/>
        <w:ind w:firstLine="540"/>
        <w:jc w:val="both"/>
      </w:pPr>
      <w:hyperlink w:history="0" r:id="rId19"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а также статус участника Военного инновационного технополиса "Эра" Министерства обороны Российской Федерации (при условии нахождения в соответствующем статусе не менее трех лет).";</w:t>
      </w:r>
    </w:p>
    <w:p>
      <w:pPr>
        <w:pStyle w:val="0"/>
        <w:spacing w:before="200" w:line-rule="auto"/>
        <w:ind w:firstLine="540"/>
        <w:jc w:val="both"/>
      </w:pPr>
      <w:r>
        <w:rPr>
          <w:sz w:val="20"/>
        </w:rPr>
        <w:t xml:space="preserve">б) </w:t>
      </w:r>
      <w:hyperlink w:history="0" r:id="rId20"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При приеме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 статьи 36 настоящего Федерального закона.";</w:t>
      </w:r>
    </w:p>
    <w:p>
      <w:pPr>
        <w:pStyle w:val="0"/>
        <w:spacing w:before="200" w:line-rule="auto"/>
        <w:ind w:firstLine="540"/>
        <w:jc w:val="both"/>
      </w:pPr>
      <w:r>
        <w:rPr>
          <w:sz w:val="20"/>
        </w:rPr>
        <w:t xml:space="preserve">в) </w:t>
      </w:r>
      <w:hyperlink w:history="0" r:id="rId21"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части 5</w:t>
        </w:r>
      </w:hyperlink>
      <w:r>
        <w:rPr>
          <w:sz w:val="20"/>
        </w:rPr>
        <w:t xml:space="preserve"> и </w:t>
      </w:r>
      <w:hyperlink w:history="0" r:id="rId22"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6</w:t>
        </w:r>
      </w:hyperlink>
      <w:r>
        <w:rPr>
          <w:sz w:val="20"/>
        </w:rPr>
        <w:t xml:space="preserve"> изложить в следующей редакции:</w:t>
      </w:r>
    </w:p>
    <w:p>
      <w:pPr>
        <w:pStyle w:val="0"/>
        <w:spacing w:before="200" w:line-rule="auto"/>
        <w:ind w:firstLine="540"/>
        <w:jc w:val="both"/>
      </w:pPr>
      <w:r>
        <w:rPr>
          <w:sz w:val="20"/>
        </w:rPr>
        <w:t xml:space="preserve">"5. Граждане могут воспользоваться правом приема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pPr>
        <w:pStyle w:val="0"/>
        <w:spacing w:before="200" w:line-rule="auto"/>
        <w:ind w:firstLine="540"/>
        <w:jc w:val="both"/>
      </w:pPr>
      <w:r>
        <w:rPr>
          <w:sz w:val="20"/>
        </w:rPr>
        <w:t xml:space="preserve">6. 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частями 15 и 16 статьи 56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pPr>
        <w:pStyle w:val="0"/>
        <w:spacing w:before="200" w:line-rule="auto"/>
        <w:ind w:firstLine="540"/>
        <w:jc w:val="both"/>
      </w:pPr>
      <w:r>
        <w:rPr>
          <w:sz w:val="20"/>
        </w:rPr>
        <w:t xml:space="preserve">г) </w:t>
      </w:r>
      <w:hyperlink w:history="0" r:id="rId23"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часть 7</w:t>
        </w:r>
      </w:hyperlink>
      <w:r>
        <w:rPr>
          <w:sz w:val="20"/>
        </w:rPr>
        <w:t xml:space="preserve"> признать утратившей силу;</w:t>
      </w:r>
    </w:p>
    <w:p>
      <w:pPr>
        <w:pStyle w:val="0"/>
        <w:spacing w:before="200" w:line-rule="auto"/>
        <w:ind w:firstLine="540"/>
        <w:jc w:val="both"/>
      </w:pPr>
      <w:r>
        <w:rPr>
          <w:sz w:val="20"/>
        </w:rPr>
        <w:t xml:space="preserve">д) </w:t>
      </w:r>
      <w:hyperlink w:history="0" r:id="rId24"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дополнить</w:t>
        </w:r>
      </w:hyperlink>
      <w:r>
        <w:rPr>
          <w:sz w:val="20"/>
        </w:rPr>
        <w:t xml:space="preserve"> частью 8 следующего содержания:</w:t>
      </w:r>
    </w:p>
    <w:p>
      <w:pPr>
        <w:pStyle w:val="0"/>
        <w:spacing w:before="200" w:line-rule="auto"/>
        <w:ind w:firstLine="540"/>
        <w:jc w:val="both"/>
      </w:pPr>
      <w:r>
        <w:rPr>
          <w:sz w:val="20"/>
        </w:rPr>
        <w:t xml:space="preserve">"8.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
    <w:p>
      <w:pPr>
        <w:pStyle w:val="0"/>
        <w:spacing w:before="200" w:line-rule="auto"/>
        <w:ind w:firstLine="540"/>
        <w:jc w:val="both"/>
      </w:pPr>
      <w:r>
        <w:rPr>
          <w:sz w:val="20"/>
        </w:rPr>
        <w:t xml:space="preserve">7) </w:t>
      </w:r>
      <w:hyperlink w:history="0" r:id="rId25"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101</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Организации, осуществляющие образовательную деятельность, также вправе осуществлять указанную деятельность за счет собственных средств этих организаций, в том числе средств, полученных от приносящей доход деятельности, добровольных пожертвований и целевых взносов, поступивших в организации, осуществляющие образовательную деятельность, от физических и (или) юридических лиц в соответствии с гражданским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2024 года.</w:t>
      </w:r>
    </w:p>
    <w:p>
      <w:pPr>
        <w:pStyle w:val="0"/>
        <w:spacing w:before="200" w:line-rule="auto"/>
        <w:ind w:firstLine="540"/>
        <w:jc w:val="both"/>
      </w:pPr>
      <w:r>
        <w:rPr>
          <w:sz w:val="20"/>
        </w:rPr>
        <w:t xml:space="preserve">2. Заключение договоров о целевом обучении в порядке, установленном Федеральным </w:t>
      </w:r>
      <w:hyperlink w:history="0" r:id="rId26"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редакции настоящего Федерального закона), осуществляется начиная с приема на обучение по основным профессиональным образовательным программам на 2024/25 учебный год.</w:t>
      </w:r>
    </w:p>
    <w:p>
      <w:pPr>
        <w:pStyle w:val="0"/>
        <w:spacing w:before="200" w:line-rule="auto"/>
        <w:ind w:firstLine="540"/>
        <w:jc w:val="both"/>
      </w:pPr>
      <w:r>
        <w:rPr>
          <w:sz w:val="20"/>
        </w:rPr>
        <w:t xml:space="preserve">3. Действие положений Федерального </w:t>
      </w:r>
      <w:hyperlink w:history="0" r:id="rId27"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обучении, заключенных до дня вступления в силу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апреля 2023 года</w:t>
      </w:r>
    </w:p>
    <w:p>
      <w:pPr>
        <w:pStyle w:val="0"/>
        <w:spacing w:before="200" w:line-rule="auto"/>
      </w:pPr>
      <w:r>
        <w:rPr>
          <w:sz w:val="20"/>
        </w:rPr>
        <w:t xml:space="preserve">N 124-ФЗ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14.04.2023 N 124-ФЗ</w:t>
            <w:br/>
            <w:t>"О внесении изменений в Федеральный закон "Об образовании в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56588" TargetMode = "External"/>
	<Relationship Id="rId8" Type="http://schemas.openxmlformats.org/officeDocument/2006/relationships/hyperlink" Target="https://login.consultant.ru/link/?req=doc&amp;base=RZB&amp;n=456588&amp;dst=100012" TargetMode = "External"/>
	<Relationship Id="rId9" Type="http://schemas.openxmlformats.org/officeDocument/2006/relationships/hyperlink" Target="https://login.consultant.ru/link/?req=doc&amp;base=RZB&amp;n=456588&amp;dst=229" TargetMode = "External"/>
	<Relationship Id="rId10" Type="http://schemas.openxmlformats.org/officeDocument/2006/relationships/hyperlink" Target="https://login.consultant.ru/link/?req=doc&amp;base=RZB&amp;n=456588&amp;dst=156" TargetMode = "External"/>
	<Relationship Id="rId11" Type="http://schemas.openxmlformats.org/officeDocument/2006/relationships/hyperlink" Target="https://login.consultant.ru/link/?req=doc&amp;base=RZB&amp;n=456588&amp;dst=100759" TargetMode = "External"/>
	<Relationship Id="rId12" Type="http://schemas.openxmlformats.org/officeDocument/2006/relationships/hyperlink" Target="https://login.consultant.ru/link/?req=doc&amp;base=RZB&amp;n=456588&amp;dst=157" TargetMode = "External"/>
	<Relationship Id="rId13" Type="http://schemas.openxmlformats.org/officeDocument/2006/relationships/hyperlink" Target="https://login.consultant.ru/link/?req=doc&amp;base=RZB&amp;n=464897&amp;dst=100010" TargetMode = "External"/>
	<Relationship Id="rId14" Type="http://schemas.openxmlformats.org/officeDocument/2006/relationships/hyperlink" Target="https://login.consultant.ru/link/?req=doc&amp;base=RZB&amp;n=454121&amp;dst=100211" TargetMode = "External"/>
	<Relationship Id="rId15" Type="http://schemas.openxmlformats.org/officeDocument/2006/relationships/hyperlink" Target="https://login.consultant.ru/link/?req=doc&amp;base=RZB&amp;n=456588&amp;dst=174" TargetMode = "External"/>
	<Relationship Id="rId16" Type="http://schemas.openxmlformats.org/officeDocument/2006/relationships/hyperlink" Target="https://login.consultant.ru/link/?req=doc&amp;base=RZB&amp;n=456588&amp;dst=175" TargetMode = "External"/>
	<Relationship Id="rId17" Type="http://schemas.openxmlformats.org/officeDocument/2006/relationships/hyperlink" Target="https://login.consultant.ru/link/?req=doc&amp;base=RZB&amp;n=456588&amp;dst=175" TargetMode = "External"/>
	<Relationship Id="rId18" Type="http://schemas.openxmlformats.org/officeDocument/2006/relationships/hyperlink" Target="https://login.consultant.ru/link/?req=doc&amp;base=RZB&amp;n=456588&amp;dst=610" TargetMode = "External"/>
	<Relationship Id="rId19" Type="http://schemas.openxmlformats.org/officeDocument/2006/relationships/hyperlink" Target="https://login.consultant.ru/link/?req=doc&amp;base=RZB&amp;n=456588&amp;dst=175" TargetMode = "External"/>
	<Relationship Id="rId20" Type="http://schemas.openxmlformats.org/officeDocument/2006/relationships/hyperlink" Target="https://login.consultant.ru/link/?req=doc&amp;base=RZB&amp;n=456588&amp;dst=174" TargetMode = "External"/>
	<Relationship Id="rId21" Type="http://schemas.openxmlformats.org/officeDocument/2006/relationships/hyperlink" Target="https://login.consultant.ru/link/?req=doc&amp;base=RZB&amp;n=456588&amp;dst=421" TargetMode = "External"/>
	<Relationship Id="rId22" Type="http://schemas.openxmlformats.org/officeDocument/2006/relationships/hyperlink" Target="https://login.consultant.ru/link/?req=doc&amp;base=RZB&amp;n=456588&amp;dst=191" TargetMode = "External"/>
	<Relationship Id="rId23" Type="http://schemas.openxmlformats.org/officeDocument/2006/relationships/hyperlink" Target="https://login.consultant.ru/link/?req=doc&amp;base=RZB&amp;n=456588&amp;dst=503" TargetMode = "External"/>
	<Relationship Id="rId24" Type="http://schemas.openxmlformats.org/officeDocument/2006/relationships/hyperlink" Target="https://login.consultant.ru/link/?req=doc&amp;base=RZB&amp;n=456588&amp;dst=174" TargetMode = "External"/>
	<Relationship Id="rId25" Type="http://schemas.openxmlformats.org/officeDocument/2006/relationships/hyperlink" Target="https://login.consultant.ru/link/?req=doc&amp;base=RZB&amp;n=456588&amp;dst=101355" TargetMode = "External"/>
	<Relationship Id="rId26" Type="http://schemas.openxmlformats.org/officeDocument/2006/relationships/hyperlink" Target="https://login.consultant.ru/link/?req=doc&amp;base=RZB&amp;n=461363&amp;dst=917" TargetMode = "External"/>
	<Relationship Id="rId27" Type="http://schemas.openxmlformats.org/officeDocument/2006/relationships/hyperlink" Target="https://login.consultant.ru/link/?req=doc&amp;base=RZB&amp;n=461363&amp;dst=9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14.04.2023 N 124-ФЗ
"О внесении изменений в Федеральный закон "Об образовании в Российской Федерации"</dc:title>
  <dcterms:created xsi:type="dcterms:W3CDTF">2024-04-02T05:43:29Z</dcterms:created>
</cp:coreProperties>
</file>