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6B" w:rsidRPr="00EB77B1" w:rsidRDefault="00EB77B1" w:rsidP="00863F6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</w:pPr>
      <w:r w:rsidRPr="00EB77B1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Источник: </w:t>
      </w:r>
      <w:hyperlink r:id="rId5" w:history="1">
        <w:r w:rsidR="00863F6B" w:rsidRPr="00EB77B1">
          <w:rPr>
            <w:rStyle w:val="a3"/>
            <w:rFonts w:ascii="Arial" w:eastAsia="Times New Roman" w:hAnsi="Arial" w:cs="Arial"/>
            <w:b/>
            <w:bCs/>
            <w:kern w:val="36"/>
            <w:sz w:val="28"/>
            <w:szCs w:val="28"/>
            <w:lang w:eastAsia="ru-RU"/>
          </w:rPr>
          <w:t>http://legalacts.ru/doc/prikaz-minzdravsotsrazvitija-rossii-n-213n-minobrnauki-rossii/#100013</w:t>
        </w:r>
      </w:hyperlink>
      <w:r w:rsidR="00863F6B" w:rsidRPr="00EB77B1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63F6B" w:rsidRDefault="00863F6B" w:rsidP="00863F6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</w:p>
    <w:p w:rsidR="00863F6B" w:rsidRPr="00863F6B" w:rsidRDefault="00863F6B" w:rsidP="00863F6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863F6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863F6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863F6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N 213н, Минобрнауки России N 178 от 11.03.2012 "Об утверждении методических рекомендаций по организации питания обучающихся и воспитанников образовательных учреждений"</w:t>
      </w:r>
    </w:p>
    <w:p w:rsidR="00863F6B" w:rsidRPr="00863F6B" w:rsidRDefault="00863F6B" w:rsidP="00863F6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213н</w:t>
      </w:r>
    </w:p>
    <w:p w:rsidR="00863F6B" w:rsidRPr="00863F6B" w:rsidRDefault="00863F6B" w:rsidP="00863F6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178</w:t>
      </w:r>
    </w:p>
    <w:p w:rsidR="00863F6B" w:rsidRPr="00863F6B" w:rsidRDefault="00863F6B" w:rsidP="00863F6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11 марта 2012 года</w:t>
      </w:r>
    </w:p>
    <w:p w:rsidR="00863F6B" w:rsidRPr="00863F6B" w:rsidRDefault="00863F6B" w:rsidP="00863F6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МЕТОДИЧЕСКИХ РЕКОМЕНДАЦИЙ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ОРГАНИЗАЦИИ ПИТАНИЯ ОБУЧАЮЩИХСЯ И ВОСПИТАННИКОВ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ОБРАЗОВАТЕЛЬНЫХ УЧРЕЖДЕНИЙ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 методические </w:t>
      </w:r>
      <w:hyperlink r:id="rId6" w:anchor="100013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организации питания обучающихся и воспитанников в образовательных учреждениях (далее - рекомендации).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Рекомендовать: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7" w:anchor="100013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863F6B" w:rsidRPr="00863F6B" w:rsidRDefault="00863F6B" w:rsidP="00863F6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здравоохранения и социального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Т.А.ГОЛИКОВА</w:t>
      </w:r>
    </w:p>
    <w:p w:rsidR="00863F6B" w:rsidRPr="00863F6B" w:rsidRDefault="00863F6B" w:rsidP="00863F6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 образования и науки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А.А.ФУРСЕНКО</w:t>
      </w:r>
    </w:p>
    <w:p w:rsidR="00863F6B" w:rsidRPr="00863F6B" w:rsidRDefault="00863F6B" w:rsidP="0086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3F6B" w:rsidRPr="00863F6B" w:rsidRDefault="00863F6B" w:rsidP="0086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3F6B" w:rsidRPr="00863F6B" w:rsidRDefault="00863F6B" w:rsidP="0086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3F6B" w:rsidRPr="00863F6B" w:rsidRDefault="00863F6B" w:rsidP="00863F6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Министерства образования и науки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863F6B" w:rsidRPr="00863F6B" w:rsidRDefault="00863F6B" w:rsidP="00863F6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11 марта 2012 г. N 213н/178</w:t>
      </w:r>
    </w:p>
    <w:p w:rsidR="00863F6B" w:rsidRPr="00863F6B" w:rsidRDefault="00863F6B" w:rsidP="00863F6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ОРГАНИЗАЦИИ ПИТАНИЯ ОБУЧАЮЩИХСЯ И ВОСПИТАННИКОВ</w:t>
      </w:r>
    </w:p>
    <w:p w:rsidR="00863F6B" w:rsidRPr="00863F6B" w:rsidRDefault="00863F6B" w:rsidP="00863F6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ОБРАЗОВАТЕЛЬНЫХ УЧРЕЖДЕНИЙ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техническим </w:t>
      </w:r>
      <w:hyperlink r:id="rId8" w:anchor="100048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техническим </w:t>
      </w:r>
      <w:hyperlink r:id="rId9" w:anchor="100028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техническим </w:t>
      </w:r>
      <w:hyperlink r:id="rId10" w:anchor="100030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техническим </w:t>
      </w:r>
      <w:hyperlink r:id="rId11" w:anchor="100022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Едиными санитарно-эпидемиологическими и гигиеническими </w:t>
      </w:r>
      <w:hyperlink r:id="rId12" w:anchor="100314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Федеральным </w:t>
      </w:r>
      <w:hyperlink r:id="rId13" w:anchor="100139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50, ст. 7359);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 </w:t>
      </w:r>
      <w:hyperlink r:id="rId14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2006, N 1, ст. 10; N 14, ст. 1458; 2007, N 1, ст. 29; 2008, N 30, ст. 3616; 2009, N 1, ст. 17; 2011, N 1, ст. 6; N 30, ст. 4590, 4596);</w:t>
      </w:r>
      <w:proofErr w:type="gramEnd"/>
    </w:p>
    <w:bookmarkStart w:id="23" w:name="100023"/>
    <w:bookmarkEnd w:id="23"/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"http://legalacts.ru/doc/zakon-rf-ot-10071992-n-3266-1-s/" \l "000133" </w:instrText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proofErr w:type="gramStart"/>
      <w:r w:rsidRPr="00863F6B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2009, N 7, ст. 786, 787; N 29, ст. 3585; N 46, ст. 5419; N 51, ст. 6158; N 52, ст. 6405, ст. 6441; 2010, N 19, ст. 2291; N 25, ст. 3072; N 31, ст. 4184; N 40, ст. 4969; N 46, ст. 5918; N 50, ст. 6595; 2011, N 1, ст. 51;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6, ст. 793; N 23, ст. 3261; N 25, ст. 3537, 3538; N 27, ст. 3871, ст. 3880; N 30, ст. 4590; N 46, ст. 6408; N 47, ст. 6608; N 49, ст. 7061, 7063; 2012, N 10, ст. 1159);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 </w:t>
      </w:r>
      <w:hyperlink r:id="rId15" w:anchor="100015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2.3.2.1940-05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15 июля 2008 г. N 11967);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нормативами </w:t>
      </w:r>
      <w:hyperlink r:id="rId16" w:anchor="100015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2.4.5.2409-08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нормативами </w:t>
      </w:r>
      <w:hyperlink r:id="rId17" w:anchor="100624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2.4.1.2660-10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 декабря 2010 г. N 164 </w:t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(зарегистрировано Министерством юстиции Российской Федерации 22 декабря 2010 г. N 19342);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нормативами </w:t>
      </w:r>
      <w:hyperlink r:id="rId18" w:anchor="100014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2.3.2.1078-01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нормативами </w:t>
      </w:r>
      <w:hyperlink r:id="rId19" w:anchor="000001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2.1.4.1074-01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г. N 10 (зарегистрировано Министерством юстиции Российской Федерации 22 марта 2010 г. N 16679), </w:t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 28 июня 2010 г. N 74 (зарегистрировано Министерством юстиции Российской Федерации 30 июля 2010 г. N 18009);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нормативами </w:t>
      </w:r>
      <w:hyperlink r:id="rId20" w:anchor="100170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2.4.4.1204-03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нормативами </w:t>
      </w:r>
      <w:hyperlink r:id="rId21" w:anchor="100333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2.4.1201-03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санитарно-эпидемиологическими правилами и нормативами </w:t>
      </w:r>
      <w:hyperlink r:id="rId22" w:anchor="100468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2.3.2.1293-03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санитарными правилами </w:t>
      </w:r>
      <w:hyperlink r:id="rId23" w:anchor="100669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 2.4.990-00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825FF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</w:t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минеральные соли и микроэлементы, а также минорные компоненты пищи (флавоноиды, нуклеотиды и др.);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оптимальный режим питания;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 </w:t>
      </w:r>
      <w:hyperlink r:id="rId24" w:anchor="100048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безопасности пищевой продукции, техническим </w:t>
      </w:r>
      <w:hyperlink r:id="rId25" w:anchor="100028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 соковую продукцию из фруктов и овощей, техническим </w:t>
      </w:r>
      <w:hyperlink r:id="rId26" w:anchor="100030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регламентом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 масложировую продукцию, </w:t>
      </w:r>
      <w:hyperlink r:id="rId27" w:anchor="100314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Единым требованиям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8" w:anchor="100015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2.3.2.1940-05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9" w:anchor="100014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2.3.2.1078-01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мясо и мясопродукты;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рыбу и рыбопродукты;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молоко и молочные продукты;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яйца; пищевые жиры;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овощи и фрукты;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крупы, макаронные изделия и бобовые;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хлеб и хлебобулочные изделия;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0"/>
      <w:bookmarkEnd w:id="5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сахар и кондитерские изделия.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1"/>
      <w:bookmarkEnd w:id="5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 </w:t>
      </w:r>
      <w:hyperlink r:id="rId30" w:anchor="100012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2.4.1.2660-10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 </w:t>
      </w:r>
      <w:hyperlink r:id="rId31" w:anchor="100015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2.4.5.2409-08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32" w:anchor="100015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2.4.5.2409-08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33" w:anchor="100015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2.4.5.2409-08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дети-сироты и дети, оставшиеся без попечения родителей, - среднесуточными наборами (рационами) питания в соответствии с </w:t>
      </w:r>
      <w:hyperlink r:id="rId34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 2.4.990-00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во вторую смену - до 20 - 25%), ужин - 25%.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Образовательным учреждениям рекомендуется использовать цикличное меню на 10, 14, 20, 28 дней.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8"/>
      <w:bookmarkEnd w:id="6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9"/>
      <w:bookmarkEnd w:id="6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 </w:t>
      </w:r>
      <w:hyperlink r:id="rId35" w:anchor="100012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2.4.1.2660-10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36" w:anchor="100015" w:history="1">
        <w:r w:rsidRPr="00863F6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2.4.5.2409-08</w:t>
        </w:r>
      </w:hyperlink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1"/>
      <w:bookmarkEnd w:id="7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4"/>
      <w:bookmarkEnd w:id="7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5"/>
      <w:bookmarkEnd w:id="7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стерилизованные (</w:t>
      </w:r>
      <w:proofErr w:type="spell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термизированные</w:t>
      </w:r>
      <w:proofErr w:type="spell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7"/>
      <w:bookmarkEnd w:id="7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вода питьевая негазированная высшей категории в упаковке емкостью до 0,5 л;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8"/>
      <w:bookmarkEnd w:id="7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соки и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нектары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ароматизаторов</w:t>
      </w:r>
      <w:proofErr w:type="spell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0"/>
      <w:bookmarkEnd w:id="8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1"/>
      <w:bookmarkEnd w:id="8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доготовочными</w:t>
      </w:r>
      <w:proofErr w:type="spell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раздаточными столовыми образовательных учреждений.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2"/>
      <w:bookmarkEnd w:id="8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</w:t>
      </w:r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3"/>
      <w:bookmarkEnd w:id="8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20.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4"/>
      <w:bookmarkEnd w:id="8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5"/>
      <w:bookmarkEnd w:id="8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состояние здоровья обучающихся и воспитанников общеобразовательных учреждений;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6"/>
      <w:bookmarkEnd w:id="8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7"/>
      <w:bookmarkEnd w:id="8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8"/>
      <w:bookmarkEnd w:id="8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9"/>
      <w:bookmarkEnd w:id="89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0"/>
      <w:bookmarkEnd w:id="90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перечень организаторов питания в общеобразовательных учреждениях;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1"/>
      <w:bookmarkEnd w:id="91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2"/>
      <w:bookmarkEnd w:id="92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3"/>
      <w:bookmarkEnd w:id="93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изучение общественного мнения об организации питания в общеобразовательных учреждениях;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4"/>
      <w:bookmarkEnd w:id="94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5"/>
      <w:bookmarkEnd w:id="95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л) осуществление </w:t>
      </w:r>
      <w:proofErr w:type="gramStart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качеством и безопасностью производимой продукции;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6"/>
      <w:bookmarkEnd w:id="96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7"/>
      <w:bookmarkEnd w:id="97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863F6B" w:rsidRPr="00863F6B" w:rsidRDefault="00863F6B" w:rsidP="00863F6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8"/>
      <w:bookmarkEnd w:id="98"/>
      <w:r w:rsidRPr="00863F6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1C7919" w:rsidRDefault="001C7919"/>
    <w:sectPr w:rsidR="001C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6B"/>
    <w:rsid w:val="001C7919"/>
    <w:rsid w:val="00790C11"/>
    <w:rsid w:val="00825FF2"/>
    <w:rsid w:val="00863F6B"/>
    <w:rsid w:val="00B51AD6"/>
    <w:rsid w:val="00E72689"/>
    <w:rsid w:val="00EB77B1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3F6B"/>
    <w:rPr>
      <w:color w:val="0000FF"/>
      <w:u w:val="single"/>
    </w:rPr>
  </w:style>
  <w:style w:type="paragraph" w:customStyle="1" w:styleId="pright">
    <w:name w:val="pright"/>
    <w:basedOn w:val="a"/>
    <w:rsid w:val="008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B7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3F6B"/>
    <w:rPr>
      <w:color w:val="0000FF"/>
      <w:u w:val="single"/>
    </w:rPr>
  </w:style>
  <w:style w:type="paragraph" w:customStyle="1" w:styleId="pright">
    <w:name w:val="pright"/>
    <w:basedOn w:val="a"/>
    <w:rsid w:val="008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B7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eshenie-komissii-tamozhennogo-soiuza-ot-09122011-n-880-o/" TargetMode="External"/><Relationship Id="rId13" Type="http://schemas.openxmlformats.org/officeDocument/2006/relationships/hyperlink" Target="http://legalacts.ru/doc/federalnyi-zakon-ot-30031999-n-52-fz-o/" TargetMode="External"/><Relationship Id="rId18" Type="http://schemas.openxmlformats.org/officeDocument/2006/relationships/hyperlink" Target="http://legalacts.ru/doc/postanovlenie-glavnogo-gosudarstvennogo-sanitarnogo-vracha-rf-ot-14112001-n/" TargetMode="External"/><Relationship Id="rId26" Type="http://schemas.openxmlformats.org/officeDocument/2006/relationships/hyperlink" Target="http://legalacts.ru/doc/reshenie-komissii-tamozhennogo-soiuza-ot-09122011-n-883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glavnogo-gosudarstvennogo-sanitarnogo-vracha-rf-ot-11032003-n/" TargetMode="External"/><Relationship Id="rId34" Type="http://schemas.openxmlformats.org/officeDocument/2006/relationships/hyperlink" Target="http://legalacts.ru/doc/sp-24990-00-24-gigiena-detei-i-podrostkov/" TargetMode="External"/><Relationship Id="rId7" Type="http://schemas.openxmlformats.org/officeDocument/2006/relationships/hyperlink" Target="http://legalacts.ru/doc/prikaz-minzdravsotsrazvitija-rossii-n-213n-minobrnauki-rossii/" TargetMode="External"/><Relationship Id="rId12" Type="http://schemas.openxmlformats.org/officeDocument/2006/relationships/hyperlink" Target="http://legalacts.ru/doc/reshenie-komissii-tamozhennogo-soiuza-ot-28052010-n-299-o/" TargetMode="External"/><Relationship Id="rId17" Type="http://schemas.openxmlformats.org/officeDocument/2006/relationships/hyperlink" Target="http://legalacts.ru/doc/postanovlenie-glavnogo-gosudarstvennogo-sanitarnogo-vracha-rf-ot-22072010-n/" TargetMode="External"/><Relationship Id="rId25" Type="http://schemas.openxmlformats.org/officeDocument/2006/relationships/hyperlink" Target="http://legalacts.ru/doc/reshenie-komissii-tamozhennogo-soiuza-ot-09122011-n-882-o/" TargetMode="External"/><Relationship Id="rId33" Type="http://schemas.openxmlformats.org/officeDocument/2006/relationships/hyperlink" Target="http://legalacts.ru/doc/postanovlenie-glavnogo-gosudarstvennogo-sanitarnogo-vracha-rf-ot-23072008-n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ostanovlenie-glavnogo-gosudarstvennogo-sanitarnogo-vracha-rf-ot-23072008-n/" TargetMode="External"/><Relationship Id="rId20" Type="http://schemas.openxmlformats.org/officeDocument/2006/relationships/hyperlink" Target="http://legalacts.ru/doc/postanovlenie-glavnogo-gosudarstvennogo-sanitarnogo-vracha-rf-ot-17032003-n/" TargetMode="External"/><Relationship Id="rId29" Type="http://schemas.openxmlformats.org/officeDocument/2006/relationships/hyperlink" Target="http://legalacts.ru/doc/postanovlenie-glavnogo-gosudarstvennogo-sanitarnogo-vracha-rf-ot-14112001-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sotsrazvitija-rossii-n-213n-minobrnauki-rossii/" TargetMode="External"/><Relationship Id="rId11" Type="http://schemas.openxmlformats.org/officeDocument/2006/relationships/hyperlink" Target="http://legalacts.ru/doc/reshenie-komissii-tamozhennogo-soiuza-ot-23092011-n-797-o/" TargetMode="External"/><Relationship Id="rId24" Type="http://schemas.openxmlformats.org/officeDocument/2006/relationships/hyperlink" Target="http://legalacts.ru/doc/reshenie-komissii-tamozhennogo-soiuza-ot-09122011-n-880-o/" TargetMode="External"/><Relationship Id="rId32" Type="http://schemas.openxmlformats.org/officeDocument/2006/relationships/hyperlink" Target="http://legalacts.ru/doc/postanovlenie-glavnogo-gosudarstvennogo-sanitarnogo-vracha-rf-ot-23072008-n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egalacts.ru/doc/prikaz-minzdravsotsrazvitija-rossii-n-213n-minobrnauki-rossii/#100013" TargetMode="External"/><Relationship Id="rId15" Type="http://schemas.openxmlformats.org/officeDocument/2006/relationships/hyperlink" Target="http://legalacts.ru/doc/postanovlenie-glavnogo-gosudarstvennogo-sanitarnogo-vracha-rf-ot-19012005-n/" TargetMode="External"/><Relationship Id="rId23" Type="http://schemas.openxmlformats.org/officeDocument/2006/relationships/hyperlink" Target="http://legalacts.ru/doc/sp-24990-00-24-gigiena-detei-i-podrostkov/" TargetMode="External"/><Relationship Id="rId28" Type="http://schemas.openxmlformats.org/officeDocument/2006/relationships/hyperlink" Target="http://legalacts.ru/doc/postanovlenie-glavnogo-gosudarstvennogo-sanitarnogo-vracha-rf-ot-19012005-n/" TargetMode="External"/><Relationship Id="rId36" Type="http://schemas.openxmlformats.org/officeDocument/2006/relationships/hyperlink" Target="http://legalacts.ru/doc/postanovlenie-glavnogo-gosudarstvennogo-sanitarnogo-vracha-rf-ot-23072008-n/" TargetMode="External"/><Relationship Id="rId10" Type="http://schemas.openxmlformats.org/officeDocument/2006/relationships/hyperlink" Target="http://legalacts.ru/doc/reshenie-komissii-tamozhennogo-soiuza-ot-09122011-n-883-o/" TargetMode="External"/><Relationship Id="rId19" Type="http://schemas.openxmlformats.org/officeDocument/2006/relationships/hyperlink" Target="http://legalacts.ru/doc/postanovlenie-glavnogo-gosudarstvennogo-sanitarnogo-vracha-rf-ot-26092001-n/" TargetMode="External"/><Relationship Id="rId31" Type="http://schemas.openxmlformats.org/officeDocument/2006/relationships/hyperlink" Target="http://legalacts.ru/doc/postanovlenie-glavnogo-gosudarstvennogo-sanitarnogo-vracha-rf-ot-23072008-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reshenie-komissii-tamozhennogo-soiuza-ot-09122011-n-882-o/" TargetMode="External"/><Relationship Id="rId14" Type="http://schemas.openxmlformats.org/officeDocument/2006/relationships/hyperlink" Target="http://legalacts.ru/doc/29_FZ-o-kachestve-i-bezopasnosti-piwevyh-produktov/" TargetMode="External"/><Relationship Id="rId22" Type="http://schemas.openxmlformats.org/officeDocument/2006/relationships/hyperlink" Target="http://legalacts.ru/doc/postanovlenie-glavnogo-gosudarstvennogo-sanitarnogo-vracha-rf-ot-18042003-n_3/" TargetMode="External"/><Relationship Id="rId27" Type="http://schemas.openxmlformats.org/officeDocument/2006/relationships/hyperlink" Target="http://legalacts.ru/doc/reshenie-komissii-tamozhennogo-soiuza-ot-28052010-n-299-o/" TargetMode="External"/><Relationship Id="rId30" Type="http://schemas.openxmlformats.org/officeDocument/2006/relationships/hyperlink" Target="http://legalacts.ru/doc/postanovlenie-glavnogo-gosudarstvennogo-sanitarnogo-vracha-rf-ot-22072010-n/" TargetMode="External"/><Relationship Id="rId35" Type="http://schemas.openxmlformats.org/officeDocument/2006/relationships/hyperlink" Target="http://legalacts.ru/doc/postanovlenie-glavnogo-gosudarstvennogo-sanitarnogo-vracha-rf-ot-22072010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4417</Words>
  <Characters>25180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2019-02-01T11:26:00Z</dcterms:created>
  <dcterms:modified xsi:type="dcterms:W3CDTF">2019-03-25T11:22:00Z</dcterms:modified>
</cp:coreProperties>
</file>